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A710B" w:rsidRDefault="00986C2D" w:rsidP="00455905">
      <w:pPr>
        <w:jc w:val="both"/>
      </w:pPr>
      <w:r w:rsidRPr="00641FDF">
        <w:rPr>
          <w:u w:val="single"/>
        </w:rPr>
        <w:t>Avastamispiiri ja määramispiiri määramine</w:t>
      </w:r>
      <w:r>
        <w:t xml:space="preserve"> (</w:t>
      </w:r>
      <w:proofErr w:type="spellStart"/>
      <w:r w:rsidRPr="004A426E">
        <w:rPr>
          <w:i/>
        </w:rPr>
        <w:t>LoD</w:t>
      </w:r>
      <w:proofErr w:type="spellEnd"/>
      <w:r>
        <w:t xml:space="preserve"> ja </w:t>
      </w:r>
      <w:proofErr w:type="spellStart"/>
      <w:r w:rsidRPr="004A426E">
        <w:rPr>
          <w:i/>
        </w:rPr>
        <w:t>LoQ</w:t>
      </w:r>
      <w:proofErr w:type="spellEnd"/>
      <w:r>
        <w:t>)</w:t>
      </w:r>
    </w:p>
    <w:p w:rsidR="00986C2D" w:rsidRDefault="00986C2D" w:rsidP="00455905">
      <w:pPr>
        <w:jc w:val="both"/>
      </w:pPr>
      <w:r>
        <w:t xml:space="preserve">Eesmärgiks on määrata </w:t>
      </w:r>
      <w:proofErr w:type="spellStart"/>
      <w:r>
        <w:t>atsetamipriidi</w:t>
      </w:r>
      <w:proofErr w:type="spellEnd"/>
      <w:r>
        <w:t xml:space="preserve"> (laialt kasutatav pestitsiid) avastamis- ja määramispiir LC-MS metoodikale </w:t>
      </w:r>
      <w:proofErr w:type="spellStart"/>
      <w:r>
        <w:t>segamees</w:t>
      </w:r>
      <w:proofErr w:type="spellEnd"/>
      <w:r>
        <w:t>. Määramiseks kasutatakse ICH juhendit (</w:t>
      </w:r>
      <w:r w:rsidRPr="00986C2D">
        <w:rPr>
          <w:i/>
        </w:rPr>
        <w:t xml:space="preserve">ICH </w:t>
      </w:r>
      <w:proofErr w:type="spellStart"/>
      <w:r w:rsidRPr="00986C2D">
        <w:rPr>
          <w:i/>
        </w:rPr>
        <w:t>harmonised</w:t>
      </w:r>
      <w:proofErr w:type="spellEnd"/>
      <w:r w:rsidRPr="00986C2D">
        <w:rPr>
          <w:i/>
        </w:rPr>
        <w:t xml:space="preserve"> </w:t>
      </w:r>
      <w:proofErr w:type="spellStart"/>
      <w:r w:rsidRPr="00986C2D">
        <w:rPr>
          <w:i/>
        </w:rPr>
        <w:t>tripartite</w:t>
      </w:r>
      <w:proofErr w:type="spellEnd"/>
      <w:r w:rsidRPr="00986C2D">
        <w:rPr>
          <w:i/>
        </w:rPr>
        <w:t xml:space="preserve"> </w:t>
      </w:r>
      <w:proofErr w:type="spellStart"/>
      <w:r w:rsidRPr="00986C2D">
        <w:rPr>
          <w:i/>
        </w:rPr>
        <w:t>guideline</w:t>
      </w:r>
      <w:proofErr w:type="spellEnd"/>
      <w:r w:rsidRPr="00986C2D">
        <w:rPr>
          <w:i/>
        </w:rPr>
        <w:t xml:space="preserve">, </w:t>
      </w:r>
      <w:proofErr w:type="spellStart"/>
      <w:r w:rsidRPr="00986C2D">
        <w:rPr>
          <w:i/>
        </w:rPr>
        <w:t>Validation</w:t>
      </w:r>
      <w:proofErr w:type="spellEnd"/>
      <w:r w:rsidRPr="00986C2D">
        <w:rPr>
          <w:i/>
        </w:rPr>
        <w:t xml:space="preserve"> of </w:t>
      </w:r>
      <w:proofErr w:type="spellStart"/>
      <w:r w:rsidRPr="00986C2D">
        <w:rPr>
          <w:i/>
        </w:rPr>
        <w:t>analytical</w:t>
      </w:r>
      <w:proofErr w:type="spellEnd"/>
      <w:r w:rsidRPr="00986C2D">
        <w:rPr>
          <w:i/>
        </w:rPr>
        <w:t xml:space="preserve"> </w:t>
      </w:r>
      <w:proofErr w:type="spellStart"/>
      <w:r w:rsidRPr="00986C2D">
        <w:rPr>
          <w:i/>
        </w:rPr>
        <w:t>procedures</w:t>
      </w:r>
      <w:proofErr w:type="spellEnd"/>
      <w:r w:rsidRPr="00986C2D">
        <w:rPr>
          <w:i/>
        </w:rPr>
        <w:t xml:space="preserve">: </w:t>
      </w:r>
      <w:proofErr w:type="spellStart"/>
      <w:r w:rsidRPr="00986C2D">
        <w:rPr>
          <w:i/>
        </w:rPr>
        <w:t>text</w:t>
      </w:r>
      <w:proofErr w:type="spellEnd"/>
      <w:r w:rsidRPr="00986C2D">
        <w:rPr>
          <w:i/>
        </w:rPr>
        <w:t xml:space="preserve"> and </w:t>
      </w:r>
      <w:proofErr w:type="spellStart"/>
      <w:r w:rsidRPr="00986C2D">
        <w:rPr>
          <w:i/>
        </w:rPr>
        <w:t>methodology</w:t>
      </w:r>
      <w:proofErr w:type="spellEnd"/>
      <w:r w:rsidRPr="00986C2D">
        <w:rPr>
          <w:i/>
        </w:rPr>
        <w:t xml:space="preserve"> Q2 (R1)</w:t>
      </w:r>
      <w:r>
        <w:t xml:space="preserve">). </w:t>
      </w:r>
    </w:p>
    <w:p w:rsidR="00986C2D" w:rsidRDefault="004A426E" w:rsidP="00455905">
      <w:pPr>
        <w:jc w:val="both"/>
      </w:pPr>
      <w:r>
        <w:t>Avastamispiiri määramiseks ka</w:t>
      </w:r>
      <w:r w:rsidR="00986C2D">
        <w:t>suta</w:t>
      </w:r>
      <w:r>
        <w:t>takse</w:t>
      </w:r>
      <w:r w:rsidR="00986C2D">
        <w:t xml:space="preserve"> jääkliikmete standardhälbe ja </w:t>
      </w:r>
      <w:proofErr w:type="spellStart"/>
      <w:r w:rsidR="00986C2D">
        <w:t>kalibratsioonigraafiku</w:t>
      </w:r>
      <w:proofErr w:type="spellEnd"/>
      <w:r w:rsidR="00986C2D">
        <w:t xml:space="preserve"> tõusu meetodit:</w:t>
      </w:r>
    </w:p>
    <w:p w:rsidR="00986C2D" w:rsidRPr="00986C2D" w:rsidRDefault="00986C2D" w:rsidP="00455905">
      <w:pPr>
        <w:jc w:val="center"/>
        <w:rPr>
          <w:rFonts w:eastAsiaTheme="minorEastAsia"/>
        </w:rPr>
      </w:pPr>
      <m:oMath>
        <m:r>
          <w:rPr>
            <w:rFonts w:ascii="Cambria Math" w:hAnsi="Cambria Math"/>
          </w:rPr>
          <m:t>LoD=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3,3*σ</m:t>
            </m:r>
          </m:num>
          <m:den>
            <m:r>
              <w:rPr>
                <w:rFonts w:ascii="Cambria Math" w:hAnsi="Cambria Math"/>
              </w:rPr>
              <m:t>S</m:t>
            </m:r>
          </m:den>
        </m:f>
      </m:oMath>
      <w:r>
        <w:rPr>
          <w:rFonts w:eastAsiaTheme="minorEastAsia"/>
        </w:rPr>
        <w:t xml:space="preserve"> ,</w:t>
      </w:r>
    </w:p>
    <w:p w:rsidR="00986C2D" w:rsidRDefault="00986C2D" w:rsidP="00455905">
      <w:pPr>
        <w:jc w:val="both"/>
      </w:pPr>
      <w:r>
        <w:rPr>
          <w:rFonts w:eastAsiaTheme="minorEastAsia"/>
        </w:rPr>
        <w:t xml:space="preserve">kus σ – </w:t>
      </w:r>
      <w:proofErr w:type="spellStart"/>
      <w:r>
        <w:rPr>
          <w:rFonts w:eastAsiaTheme="minorEastAsia"/>
        </w:rPr>
        <w:t>kalibratsioonigraafiku</w:t>
      </w:r>
      <w:proofErr w:type="spellEnd"/>
      <w:r>
        <w:rPr>
          <w:rFonts w:eastAsiaTheme="minorEastAsia"/>
        </w:rPr>
        <w:t xml:space="preserve"> jääkliikmete standardhälve, S- </w:t>
      </w:r>
      <w:proofErr w:type="spellStart"/>
      <w:r>
        <w:rPr>
          <w:rFonts w:eastAsiaTheme="minorEastAsia"/>
        </w:rPr>
        <w:t>kalibratsioonigraafiku</w:t>
      </w:r>
      <w:proofErr w:type="spellEnd"/>
      <w:r>
        <w:rPr>
          <w:rFonts w:eastAsiaTheme="minorEastAsia"/>
        </w:rPr>
        <w:t xml:space="preserve"> tõus. </w:t>
      </w:r>
    </w:p>
    <w:p w:rsidR="00986C2D" w:rsidRDefault="004A426E" w:rsidP="00455905">
      <w:pPr>
        <w:jc w:val="both"/>
      </w:pPr>
      <w:r>
        <w:t>Määramispiir määratakse samadel andmetel ja sama valemit kasutades, kuid valemis asendatakse number 3,3 numbriga 10.</w:t>
      </w:r>
    </w:p>
    <w:p w:rsidR="00455905" w:rsidRDefault="00455905" w:rsidP="00455905">
      <w:pPr>
        <w:jc w:val="both"/>
      </w:pPr>
      <w:proofErr w:type="spellStart"/>
      <w:r>
        <w:t>Kalibratsioonigraafik</w:t>
      </w:r>
      <w:proofErr w:type="spellEnd"/>
      <w:r>
        <w:t xml:space="preserve"> peab olema koostatud arvatava </w:t>
      </w:r>
      <w:proofErr w:type="spellStart"/>
      <w:r>
        <w:t>LoD</w:t>
      </w:r>
      <w:proofErr w:type="spellEnd"/>
      <w:r>
        <w:t xml:space="preserve"> kontsentratsiooni piirkonnas ning soovitatavalt 1 suurusjärgu ulatuses, aga mitte üle terve lineaarse ala mitme suurusjärgu ulatuses. </w:t>
      </w:r>
    </w:p>
    <w:p w:rsidR="004A426E" w:rsidRDefault="004A426E" w:rsidP="00455905">
      <w:pPr>
        <w:jc w:val="both"/>
      </w:pPr>
    </w:p>
    <w:p w:rsidR="004A426E" w:rsidRDefault="004A426E" w:rsidP="00455905">
      <w:pPr>
        <w:jc w:val="both"/>
      </w:pPr>
      <w:r w:rsidRPr="00641FDF">
        <w:rPr>
          <w:u w:val="single"/>
        </w:rPr>
        <w:t>Ülekandeefekti uurimine</w:t>
      </w:r>
      <w:r>
        <w:t xml:space="preserve"> (</w:t>
      </w:r>
      <w:proofErr w:type="spellStart"/>
      <w:r w:rsidRPr="004A426E">
        <w:rPr>
          <w:i/>
        </w:rPr>
        <w:t>Carry-over</w:t>
      </w:r>
      <w:proofErr w:type="spellEnd"/>
      <w:r>
        <w:t>)</w:t>
      </w:r>
    </w:p>
    <w:p w:rsidR="004A426E" w:rsidRDefault="008F1DBB" w:rsidP="00455905">
      <w:pPr>
        <w:jc w:val="both"/>
      </w:pPr>
      <w:r>
        <w:t xml:space="preserve">Ülekandeefekti uurimine toimub </w:t>
      </w:r>
      <w:proofErr w:type="spellStart"/>
      <w:r w:rsidRPr="008F1DBB">
        <w:rPr>
          <w:i/>
        </w:rPr>
        <w:t>European</w:t>
      </w:r>
      <w:proofErr w:type="spellEnd"/>
      <w:r w:rsidRPr="008F1DBB">
        <w:rPr>
          <w:i/>
        </w:rPr>
        <w:t xml:space="preserve"> </w:t>
      </w:r>
      <w:proofErr w:type="spellStart"/>
      <w:r w:rsidRPr="008F1DBB">
        <w:rPr>
          <w:i/>
        </w:rPr>
        <w:t>Medicines</w:t>
      </w:r>
      <w:proofErr w:type="spellEnd"/>
      <w:r w:rsidRPr="008F1DBB">
        <w:rPr>
          <w:i/>
        </w:rPr>
        <w:t xml:space="preserve"> </w:t>
      </w:r>
      <w:proofErr w:type="spellStart"/>
      <w:r w:rsidRPr="008F1DBB">
        <w:rPr>
          <w:i/>
        </w:rPr>
        <w:t>Agency</w:t>
      </w:r>
      <w:proofErr w:type="spellEnd"/>
      <w:r>
        <w:t xml:space="preserve"> 2011. aasta juhendi alusel (</w:t>
      </w:r>
      <w:proofErr w:type="spellStart"/>
      <w:r w:rsidRPr="008F1DBB">
        <w:rPr>
          <w:i/>
        </w:rPr>
        <w:t>Guideline</w:t>
      </w:r>
      <w:proofErr w:type="spellEnd"/>
      <w:r w:rsidRPr="008F1DBB">
        <w:rPr>
          <w:i/>
        </w:rPr>
        <w:t xml:space="preserve"> on </w:t>
      </w:r>
      <w:proofErr w:type="spellStart"/>
      <w:r w:rsidRPr="008F1DBB">
        <w:rPr>
          <w:i/>
        </w:rPr>
        <w:t>bioanalytical</w:t>
      </w:r>
      <w:proofErr w:type="spellEnd"/>
      <w:r w:rsidRPr="008F1DBB">
        <w:rPr>
          <w:i/>
        </w:rPr>
        <w:t xml:space="preserve"> </w:t>
      </w:r>
      <w:proofErr w:type="spellStart"/>
      <w:r w:rsidRPr="008F1DBB">
        <w:rPr>
          <w:i/>
        </w:rPr>
        <w:t>method</w:t>
      </w:r>
      <w:proofErr w:type="spellEnd"/>
      <w:r w:rsidRPr="008F1DBB">
        <w:rPr>
          <w:i/>
        </w:rPr>
        <w:t xml:space="preserve"> </w:t>
      </w:r>
      <w:proofErr w:type="spellStart"/>
      <w:r w:rsidRPr="008F1DBB">
        <w:rPr>
          <w:i/>
        </w:rPr>
        <w:t>validation</w:t>
      </w:r>
      <w:proofErr w:type="spellEnd"/>
      <w:r>
        <w:t xml:space="preserve">). </w:t>
      </w:r>
    </w:p>
    <w:p w:rsidR="00455905" w:rsidRDefault="00455905" w:rsidP="00455905">
      <w:pPr>
        <w:jc w:val="both"/>
      </w:pPr>
      <w:r>
        <w:t xml:space="preserve">Ülekandeefekti saab määrata süstides kõrge kontsentratsiooniga proovi ning seejärel solventi. </w:t>
      </w:r>
      <w:r w:rsidR="00641FDF">
        <w:t>Ülekandeefekt puudub või on minimaalne, kui solvendisüstis</w:t>
      </w:r>
      <w:r>
        <w:t xml:space="preserve"> on kontsentratsioon suurem, kui 20% </w:t>
      </w:r>
      <w:proofErr w:type="spellStart"/>
      <w:r>
        <w:t>LLoQ</w:t>
      </w:r>
      <w:proofErr w:type="spellEnd"/>
      <w:r w:rsidR="00C93CEF">
        <w:t xml:space="preserve"> kontsentratsioonist</w:t>
      </w:r>
      <w:r>
        <w:t xml:space="preserve"> (</w:t>
      </w:r>
      <w:proofErr w:type="spellStart"/>
      <w:r w:rsidRPr="00422132">
        <w:rPr>
          <w:i/>
        </w:rPr>
        <w:t>lower</w:t>
      </w:r>
      <w:proofErr w:type="spellEnd"/>
      <w:r w:rsidRPr="00422132">
        <w:rPr>
          <w:i/>
        </w:rPr>
        <w:t xml:space="preserve"> </w:t>
      </w:r>
      <w:proofErr w:type="spellStart"/>
      <w:r w:rsidRPr="00422132">
        <w:rPr>
          <w:i/>
        </w:rPr>
        <w:t>limit</w:t>
      </w:r>
      <w:proofErr w:type="spellEnd"/>
      <w:r w:rsidRPr="00422132">
        <w:rPr>
          <w:i/>
        </w:rPr>
        <w:t xml:space="preserve"> of </w:t>
      </w:r>
      <w:proofErr w:type="spellStart"/>
      <w:r w:rsidRPr="00422132">
        <w:rPr>
          <w:i/>
        </w:rPr>
        <w:t>quantification</w:t>
      </w:r>
      <w:proofErr w:type="spellEnd"/>
      <w:r>
        <w:t>)</w:t>
      </w:r>
      <w:r w:rsidR="00C93CEF">
        <w:t>.</w:t>
      </w:r>
    </w:p>
    <w:p w:rsidR="00422132" w:rsidRPr="008F1DBB" w:rsidRDefault="00422132" w:rsidP="00455905">
      <w:pPr>
        <w:jc w:val="both"/>
      </w:pPr>
      <w:r>
        <w:t xml:space="preserve">Ülekandeefekti uuritakse </w:t>
      </w:r>
      <w:proofErr w:type="spellStart"/>
      <w:r>
        <w:t>segamee</w:t>
      </w:r>
      <w:proofErr w:type="spellEnd"/>
      <w:r>
        <w:t xml:space="preserve"> proovile, mis sisaldab </w:t>
      </w:r>
      <w:proofErr w:type="spellStart"/>
      <w:r>
        <w:t>tiametoksaami</w:t>
      </w:r>
      <w:proofErr w:type="spellEnd"/>
      <w:r>
        <w:t xml:space="preserve">. </w:t>
      </w:r>
      <w:proofErr w:type="spellStart"/>
      <w:r>
        <w:t>LLoQ</w:t>
      </w:r>
      <w:proofErr w:type="spellEnd"/>
      <w:r>
        <w:t xml:space="preserve"> on 0,08 mg/kg, kõrge kontsentratsiooniga </w:t>
      </w:r>
      <w:proofErr w:type="spellStart"/>
      <w:r>
        <w:t>segamee</w:t>
      </w:r>
      <w:proofErr w:type="spellEnd"/>
      <w:r>
        <w:t xml:space="preserve"> tühiproov rikastati 0,2 mg/kg kontsentratsioonile ning seejärel süstiti solventi. </w:t>
      </w:r>
      <w:r w:rsidR="003B04B1">
        <w:t>Tsüklit korrati 5 korral.</w:t>
      </w:r>
      <w:bookmarkStart w:id="0" w:name="_GoBack"/>
      <w:bookmarkEnd w:id="0"/>
    </w:p>
    <w:sectPr w:rsidR="00422132" w:rsidRPr="008F1DB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Cambria Math">
    <w:panose1 w:val="02040503050406030204"/>
    <w:charset w:val="BA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BA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016A"/>
    <w:rsid w:val="003B04B1"/>
    <w:rsid w:val="00422132"/>
    <w:rsid w:val="00455905"/>
    <w:rsid w:val="004A426E"/>
    <w:rsid w:val="004D5E3B"/>
    <w:rsid w:val="00641FDF"/>
    <w:rsid w:val="008F1DBB"/>
    <w:rsid w:val="00986C2D"/>
    <w:rsid w:val="00C93CEF"/>
    <w:rsid w:val="00CA710B"/>
    <w:rsid w:val="00DB01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t-E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D830F07-C3B1-4F76-BD81-5EF55D17EE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t-E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986C2D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220</Words>
  <Characters>1281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Deremfi</dc:creator>
  <cp:keywords/>
  <dc:description/>
  <cp:lastModifiedBy>Deremfi</cp:lastModifiedBy>
  <cp:revision>10</cp:revision>
  <dcterms:created xsi:type="dcterms:W3CDTF">2015-06-28T17:23:00Z</dcterms:created>
  <dcterms:modified xsi:type="dcterms:W3CDTF">2015-06-28T18:03:00Z</dcterms:modified>
</cp:coreProperties>
</file>